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3D" w:rsidRDefault="00041D94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807412" cy="9239465"/>
            <wp:effectExtent l="0" t="0" r="3175" b="0"/>
            <wp:docPr id="1" name="Imagem 1" descr="http://www.tse.jus.br/legislacao-tse/res/2017/img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e.jus.br/legislacao-tse/res/2017/img4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691" cy="92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A3D" w:rsidSect="00E42DC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94"/>
    <w:rsid w:val="00041D94"/>
    <w:rsid w:val="000E4A3D"/>
    <w:rsid w:val="003D05DF"/>
    <w:rsid w:val="00596559"/>
    <w:rsid w:val="006102B0"/>
    <w:rsid w:val="007221E4"/>
    <w:rsid w:val="00916A8D"/>
    <w:rsid w:val="00C45508"/>
    <w:rsid w:val="00E42DCA"/>
    <w:rsid w:val="00E4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Tribunal de Justiça MT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TJMT</dc:creator>
  <cp:lastModifiedBy>JULIANA TEREZA RIBEIRO BORTHOLACCI</cp:lastModifiedBy>
  <cp:revision>2</cp:revision>
  <dcterms:created xsi:type="dcterms:W3CDTF">2024-06-20T17:12:00Z</dcterms:created>
  <dcterms:modified xsi:type="dcterms:W3CDTF">2024-06-20T17:12:00Z</dcterms:modified>
</cp:coreProperties>
</file>